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5FD9" w14:textId="77777777" w:rsidR="000E5581" w:rsidRPr="00EE3092" w:rsidRDefault="00A17D48" w:rsidP="006B6A78">
      <w:pPr>
        <w:jc w:val="center"/>
        <w:rPr>
          <w:b/>
          <w:i w:val="0"/>
        </w:rPr>
      </w:pPr>
      <w:r w:rsidRPr="00EE3092">
        <w:rPr>
          <w:b/>
          <w:i w:val="0"/>
        </w:rPr>
        <w:t>CRITERIO DI CALCOLO ONORARI BONUS PER LAVORI ECCEDENTI IL CONTRIBUTO</w:t>
      </w:r>
    </w:p>
    <w:p w14:paraId="3FDC075C" w14:textId="77777777" w:rsidR="006B6A78" w:rsidRPr="00EE3092" w:rsidRDefault="00A17D48" w:rsidP="001F7231">
      <w:p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Nell’ambito dei cantieri della Ricostruzione post-sisma 2016 l</w:t>
      </w:r>
      <w:r w:rsidR="006B6A78" w:rsidRPr="00EE3092">
        <w:rPr>
          <w:i w:val="0"/>
          <w:sz w:val="22"/>
          <w:szCs w:val="22"/>
        </w:rPr>
        <w:t>’importo dei lavori è distinguibile nelle seguenti aliquote:</w:t>
      </w:r>
    </w:p>
    <w:p w14:paraId="7713341A" w14:textId="77777777" w:rsidR="006B6A78" w:rsidRPr="00EE3092" w:rsidRDefault="006B6A78" w:rsidP="006B6A78">
      <w:pPr>
        <w:pStyle w:val="Paragrafoelenco"/>
        <w:numPr>
          <w:ilvl w:val="0"/>
          <w:numId w:val="2"/>
        </w:num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spese ammissibili e ammesse a contributo</w:t>
      </w:r>
    </w:p>
    <w:p w14:paraId="36C2C7ED" w14:textId="77777777" w:rsidR="006B6A78" w:rsidRPr="00EE3092" w:rsidRDefault="006B6A78" w:rsidP="006B6A78">
      <w:pPr>
        <w:pStyle w:val="Paragrafoelenco"/>
        <w:numPr>
          <w:ilvl w:val="0"/>
          <w:numId w:val="2"/>
        </w:num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spese ammissibili, eccedenti il contributo, a</w:t>
      </w:r>
      <w:r w:rsidR="00A17D48" w:rsidRPr="00EE3092">
        <w:rPr>
          <w:i w:val="0"/>
          <w:sz w:val="22"/>
          <w:szCs w:val="22"/>
        </w:rPr>
        <w:t>m</w:t>
      </w:r>
      <w:r w:rsidRPr="00EE3092">
        <w:rPr>
          <w:i w:val="0"/>
          <w:sz w:val="22"/>
          <w:szCs w:val="22"/>
        </w:rPr>
        <w:t>missibili a superbonus (sisma o eco)</w:t>
      </w:r>
    </w:p>
    <w:p w14:paraId="697C99F3" w14:textId="77777777" w:rsidR="006B6A78" w:rsidRPr="00EE3092" w:rsidRDefault="006B6A78" w:rsidP="006B6A78">
      <w:pPr>
        <w:pStyle w:val="Paragrafoelenco"/>
        <w:numPr>
          <w:ilvl w:val="0"/>
          <w:numId w:val="2"/>
        </w:num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spese non ammissibili (</w:t>
      </w:r>
      <w:r w:rsidR="00B03B33" w:rsidRPr="00EE3092">
        <w:rPr>
          <w:i w:val="0"/>
          <w:sz w:val="22"/>
          <w:szCs w:val="22"/>
        </w:rPr>
        <w:t>migliorie</w:t>
      </w:r>
      <w:r w:rsidRPr="00EE3092">
        <w:rPr>
          <w:i w:val="0"/>
          <w:sz w:val="22"/>
          <w:szCs w:val="22"/>
        </w:rPr>
        <w:t xml:space="preserve">) </w:t>
      </w:r>
      <w:r w:rsidR="00B03B33" w:rsidRPr="00EE3092">
        <w:rPr>
          <w:i w:val="0"/>
          <w:sz w:val="22"/>
          <w:szCs w:val="22"/>
        </w:rPr>
        <w:t>né</w:t>
      </w:r>
      <w:r w:rsidRPr="00EE3092">
        <w:rPr>
          <w:i w:val="0"/>
          <w:sz w:val="22"/>
          <w:szCs w:val="22"/>
        </w:rPr>
        <w:t xml:space="preserve"> a bonus</w:t>
      </w:r>
      <w:r w:rsidR="00447963" w:rsidRPr="00EE3092">
        <w:rPr>
          <w:i w:val="0"/>
          <w:sz w:val="22"/>
          <w:szCs w:val="22"/>
        </w:rPr>
        <w:t>,</w:t>
      </w:r>
      <w:r w:rsidRPr="00EE3092">
        <w:rPr>
          <w:i w:val="0"/>
          <w:sz w:val="22"/>
          <w:szCs w:val="22"/>
        </w:rPr>
        <w:t xml:space="preserve"> </w:t>
      </w:r>
      <w:r w:rsidR="00B03B33" w:rsidRPr="00EE3092">
        <w:rPr>
          <w:i w:val="0"/>
          <w:sz w:val="22"/>
          <w:szCs w:val="22"/>
        </w:rPr>
        <w:t>né</w:t>
      </w:r>
      <w:r w:rsidRPr="00EE3092">
        <w:rPr>
          <w:i w:val="0"/>
          <w:sz w:val="22"/>
          <w:szCs w:val="22"/>
        </w:rPr>
        <w:t xml:space="preserve"> a contributo.</w:t>
      </w:r>
    </w:p>
    <w:p w14:paraId="6C2AEAB9" w14:textId="77777777" w:rsidR="006B6A78" w:rsidRPr="00EE3092" w:rsidRDefault="006B6A78" w:rsidP="006B6A78">
      <w:p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 xml:space="preserve">Escludendo </w:t>
      </w:r>
      <w:r w:rsidR="006E4432" w:rsidRPr="00EE3092">
        <w:rPr>
          <w:i w:val="0"/>
          <w:sz w:val="22"/>
          <w:szCs w:val="22"/>
        </w:rPr>
        <w:t xml:space="preserve">dal ragionamento </w:t>
      </w:r>
      <w:r w:rsidRPr="00EE3092">
        <w:rPr>
          <w:i w:val="0"/>
          <w:sz w:val="22"/>
          <w:szCs w:val="22"/>
        </w:rPr>
        <w:t>l’aliquota c),</w:t>
      </w:r>
      <w:r w:rsidR="006E4432" w:rsidRPr="00EE3092">
        <w:rPr>
          <w:i w:val="0"/>
          <w:sz w:val="22"/>
          <w:szCs w:val="22"/>
        </w:rPr>
        <w:t xml:space="preserve"> che può essere oggetto di trattazione libera delle spese tecniche</w:t>
      </w:r>
      <w:r w:rsidR="00447963" w:rsidRPr="00EE3092">
        <w:rPr>
          <w:i w:val="0"/>
          <w:sz w:val="22"/>
          <w:szCs w:val="22"/>
        </w:rPr>
        <w:t xml:space="preserve"> (fermo restando l’obbligo del preventivo in forma scritta)</w:t>
      </w:r>
      <w:r w:rsidR="006E4432" w:rsidRPr="00EE3092">
        <w:rPr>
          <w:i w:val="0"/>
          <w:sz w:val="22"/>
          <w:szCs w:val="22"/>
        </w:rPr>
        <w:t xml:space="preserve">, </w:t>
      </w:r>
      <w:r w:rsidRPr="00EE3092">
        <w:rPr>
          <w:i w:val="0"/>
          <w:sz w:val="22"/>
          <w:szCs w:val="22"/>
        </w:rPr>
        <w:t>si vuole proporre un metodo di calcolo per le spese tecniche relative ai lavori di cui all’aliquota b).</w:t>
      </w:r>
    </w:p>
    <w:p w14:paraId="457BA72E" w14:textId="77777777" w:rsidR="006B6A78" w:rsidRPr="00EE3092" w:rsidRDefault="006B6A78" w:rsidP="006B6A78">
      <w:p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 xml:space="preserve">La ratio è quella che le spese tecniche per i lavori fino all’importo del contributo sono </w:t>
      </w:r>
      <w:r w:rsidR="00447963" w:rsidRPr="00EE3092">
        <w:rPr>
          <w:i w:val="0"/>
          <w:sz w:val="22"/>
          <w:szCs w:val="22"/>
        </w:rPr>
        <w:t>compensate</w:t>
      </w:r>
      <w:r w:rsidRPr="00EE3092">
        <w:rPr>
          <w:i w:val="0"/>
          <w:sz w:val="22"/>
          <w:szCs w:val="22"/>
        </w:rPr>
        <w:t xml:space="preserve"> mediante le disposizion</w:t>
      </w:r>
      <w:r w:rsidR="00447963" w:rsidRPr="00EE3092">
        <w:rPr>
          <w:i w:val="0"/>
          <w:sz w:val="22"/>
          <w:szCs w:val="22"/>
        </w:rPr>
        <w:t>i</w:t>
      </w:r>
      <w:r w:rsidRPr="00EE3092">
        <w:rPr>
          <w:i w:val="0"/>
          <w:sz w:val="22"/>
          <w:szCs w:val="22"/>
        </w:rPr>
        <w:t xml:space="preserve"> dell’OC108, per quelle </w:t>
      </w:r>
      <w:r w:rsidR="001C4044" w:rsidRPr="00EE3092">
        <w:rPr>
          <w:i w:val="0"/>
          <w:sz w:val="22"/>
          <w:szCs w:val="22"/>
        </w:rPr>
        <w:t>eccedenti vale invece il DM2016 come limite massimo.</w:t>
      </w:r>
    </w:p>
    <w:p w14:paraId="33C95FCF" w14:textId="77777777" w:rsidR="001C4044" w:rsidRPr="00EE3092" w:rsidRDefault="006B6A78" w:rsidP="006B6A78">
      <w:p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L’eccedenza non può essere trattata a parte</w:t>
      </w:r>
      <w:r w:rsidR="001C4044" w:rsidRPr="00EE3092">
        <w:rPr>
          <w:i w:val="0"/>
          <w:sz w:val="22"/>
          <w:szCs w:val="22"/>
        </w:rPr>
        <w:t xml:space="preserve"> come fosse una distinta progettazione. Si possono però applicare voci di prestazione differenti tra le quali, a titolo esemplificativo, quella relativa all’asseverazione.</w:t>
      </w:r>
    </w:p>
    <w:p w14:paraId="4F6D68B5" w14:textId="77777777" w:rsidR="00A17D48" w:rsidRPr="00EE3092" w:rsidRDefault="00A17D48" w:rsidP="00A17D48">
      <w:p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Come noto la parcella per la parte ammessa a contributo si calcola, secondo OC108, con il DM 140</w:t>
      </w:r>
      <w:r w:rsidR="00447963" w:rsidRPr="00EE3092">
        <w:rPr>
          <w:i w:val="0"/>
          <w:sz w:val="22"/>
          <w:szCs w:val="22"/>
        </w:rPr>
        <w:t xml:space="preserve"> (su un set limitato di prestazioni parziali)</w:t>
      </w:r>
      <w:r w:rsidRPr="00EE3092">
        <w:rPr>
          <w:i w:val="0"/>
          <w:sz w:val="22"/>
          <w:szCs w:val="22"/>
        </w:rPr>
        <w:t xml:space="preserve"> applicando uno sconto del 30</w:t>
      </w:r>
      <w:proofErr w:type="gramStart"/>
      <w:r w:rsidRPr="00EE3092">
        <w:rPr>
          <w:i w:val="0"/>
          <w:sz w:val="22"/>
          <w:szCs w:val="22"/>
        </w:rPr>
        <w:t>%  (</w:t>
      </w:r>
      <w:proofErr w:type="gramEnd"/>
      <w:r w:rsidRPr="00EE3092">
        <w:rPr>
          <w:i w:val="0"/>
          <w:sz w:val="22"/>
          <w:szCs w:val="22"/>
        </w:rPr>
        <w:t>su Strutture, Edilizia, Impianti Elettrici, Impianti Meccanici).</w:t>
      </w:r>
    </w:p>
    <w:p w14:paraId="3356BFCC" w14:textId="77777777" w:rsidR="00A17D48" w:rsidRPr="00EE3092" w:rsidRDefault="00A17D48" w:rsidP="00A17D48">
      <w:p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Per la parte in accollo si calcola la parcella sul totale dei lavori (</w:t>
      </w:r>
      <w:proofErr w:type="spellStart"/>
      <w:r w:rsidRPr="00EE3092">
        <w:rPr>
          <w:i w:val="0"/>
          <w:sz w:val="22"/>
          <w:szCs w:val="22"/>
        </w:rPr>
        <w:t>contrib+accollo</w:t>
      </w:r>
      <w:proofErr w:type="spellEnd"/>
      <w:r w:rsidRPr="00EE3092">
        <w:rPr>
          <w:i w:val="0"/>
          <w:sz w:val="22"/>
          <w:szCs w:val="22"/>
        </w:rPr>
        <w:t>) con il DM2016 e a questa si sottrare la parcella calcolata sulla parte a contributo sempre con il DM2016: in questo modo la parte a contributo viene pagata secondo le modalità dell’OC108, mentre la sola parte in accollo con il DM2016.</w:t>
      </w:r>
    </w:p>
    <w:p w14:paraId="2208B8FF" w14:textId="77777777" w:rsidR="00E044E5" w:rsidRPr="00EE3092" w:rsidRDefault="00E044E5" w:rsidP="001F7231">
      <w:p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A titolo di esempio:</w:t>
      </w:r>
    </w:p>
    <w:p w14:paraId="43ADD7D7" w14:textId="77777777" w:rsidR="00E044E5" w:rsidRPr="00EE3092" w:rsidRDefault="00E044E5" w:rsidP="001F7231">
      <w:p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Contributo 500 k€</w:t>
      </w:r>
    </w:p>
    <w:p w14:paraId="7F3E3EB3" w14:textId="77777777" w:rsidR="00E044E5" w:rsidRPr="00EE3092" w:rsidRDefault="00E044E5" w:rsidP="001F7231">
      <w:p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Totale lavori 600 k€</w:t>
      </w:r>
    </w:p>
    <w:p w14:paraId="11F852F0" w14:textId="77777777" w:rsidR="00E044E5" w:rsidRPr="00EE3092" w:rsidRDefault="00E044E5" w:rsidP="001F7231">
      <w:p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Accollo 100 k€</w:t>
      </w:r>
    </w:p>
    <w:p w14:paraId="7E92890A" w14:textId="77777777" w:rsidR="00E044E5" w:rsidRPr="00EE3092" w:rsidRDefault="00E044E5" w:rsidP="001F7231">
      <w:p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Parcella totale: DM140(500k€) + DM2016(600k€) - DM2016(500k€)</w:t>
      </w:r>
    </w:p>
    <w:p w14:paraId="56A04C41" w14:textId="77777777" w:rsidR="00A17D48" w:rsidRPr="00EE3092" w:rsidRDefault="00A17D48" w:rsidP="001F7231">
      <w:pPr>
        <w:jc w:val="both"/>
        <w:rPr>
          <w:b/>
          <w:i w:val="0"/>
          <w:sz w:val="22"/>
          <w:szCs w:val="22"/>
        </w:rPr>
      </w:pPr>
    </w:p>
    <w:p w14:paraId="5E9A2AC2" w14:textId="77777777" w:rsidR="00180326" w:rsidRPr="00EE3092" w:rsidRDefault="00180326" w:rsidP="001F7231">
      <w:pPr>
        <w:jc w:val="both"/>
        <w:rPr>
          <w:b/>
          <w:i w:val="0"/>
          <w:sz w:val="22"/>
          <w:szCs w:val="22"/>
        </w:rPr>
      </w:pPr>
    </w:p>
    <w:p w14:paraId="5B6749D0" w14:textId="77777777" w:rsidR="006E4432" w:rsidRPr="00EE3092" w:rsidRDefault="006E4432" w:rsidP="001F7231">
      <w:pPr>
        <w:jc w:val="both"/>
        <w:rPr>
          <w:b/>
          <w:i w:val="0"/>
          <w:sz w:val="22"/>
          <w:szCs w:val="22"/>
        </w:rPr>
      </w:pPr>
    </w:p>
    <w:p w14:paraId="24879BA3" w14:textId="77777777" w:rsidR="00253CCF" w:rsidRDefault="00253CCF">
      <w:pPr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br w:type="page"/>
      </w:r>
    </w:p>
    <w:p w14:paraId="016A8559" w14:textId="77777777" w:rsidR="00A17D48" w:rsidRPr="00EE3092" w:rsidRDefault="00A17D48" w:rsidP="001F7231">
      <w:pPr>
        <w:jc w:val="both"/>
        <w:rPr>
          <w:b/>
          <w:i w:val="0"/>
          <w:sz w:val="22"/>
          <w:szCs w:val="22"/>
        </w:rPr>
      </w:pPr>
      <w:r w:rsidRPr="00EE3092">
        <w:rPr>
          <w:b/>
          <w:i w:val="0"/>
          <w:sz w:val="22"/>
          <w:szCs w:val="22"/>
        </w:rPr>
        <w:lastRenderedPageBreak/>
        <w:t>Nota 1</w:t>
      </w:r>
    </w:p>
    <w:p w14:paraId="6E8A6598" w14:textId="0D08C672" w:rsidR="00E044E5" w:rsidRPr="00EE3092" w:rsidRDefault="00E044E5" w:rsidP="001F7231">
      <w:p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Come da “proposta numero 1” della RPT alla Commissione consultiva per il Monitoraggio dell’applicazione del D.M. 28/02/2017 n.58 e Linee guida ad esso allegate, le aliquote relative alle “verifiche di vulnerabilità”, normalmente presenti in caso di puro 110%, non vengono considerate in quanto prestazioni comunque obbligatorie per la sola ricost</w:t>
      </w:r>
      <w:r w:rsidR="001F7231" w:rsidRPr="00EE3092">
        <w:rPr>
          <w:i w:val="0"/>
          <w:sz w:val="22"/>
          <w:szCs w:val="22"/>
        </w:rPr>
        <w:t>ruzione e pertanto logicamente imputate nella parcella cal</w:t>
      </w:r>
      <w:r w:rsidR="00A17D48" w:rsidRPr="00EE3092">
        <w:rPr>
          <w:i w:val="0"/>
          <w:sz w:val="22"/>
          <w:szCs w:val="22"/>
        </w:rPr>
        <w:t>colata con DM140 sul contributo</w:t>
      </w:r>
      <w:r w:rsidR="0033565B" w:rsidRPr="00EE3092">
        <w:rPr>
          <w:i w:val="0"/>
          <w:sz w:val="22"/>
          <w:szCs w:val="22"/>
        </w:rPr>
        <w:t xml:space="preserve">. </w:t>
      </w:r>
    </w:p>
    <w:p w14:paraId="4E687640" w14:textId="77777777" w:rsidR="00180326" w:rsidRPr="00EE3092" w:rsidRDefault="00180326" w:rsidP="00180326">
      <w:pPr>
        <w:jc w:val="both"/>
        <w:rPr>
          <w:i w:val="0"/>
          <w:sz w:val="22"/>
          <w:szCs w:val="22"/>
        </w:rPr>
      </w:pPr>
      <w:r w:rsidRPr="00EE3092">
        <w:rPr>
          <w:b/>
          <w:i w:val="0"/>
          <w:sz w:val="22"/>
          <w:szCs w:val="22"/>
        </w:rPr>
        <w:t>Nota 2:</w:t>
      </w:r>
      <w:r w:rsidRPr="00EE3092">
        <w:rPr>
          <w:i w:val="0"/>
          <w:sz w:val="22"/>
          <w:szCs w:val="22"/>
        </w:rPr>
        <w:t xml:space="preserve"> </w:t>
      </w:r>
      <w:r w:rsidR="005845F4" w:rsidRPr="00EE3092">
        <w:rPr>
          <w:i w:val="0"/>
          <w:sz w:val="22"/>
          <w:szCs w:val="22"/>
        </w:rPr>
        <w:t xml:space="preserve">per </w:t>
      </w:r>
      <w:r w:rsidRPr="00EE3092">
        <w:rPr>
          <w:i w:val="0"/>
          <w:sz w:val="22"/>
          <w:szCs w:val="22"/>
        </w:rPr>
        <w:t>la parte di spese tecniche pagate con il DM2016, l’applicazione delle prestazioni non è vincolata al protocollo di intesa dell’OC108</w:t>
      </w:r>
      <w:r w:rsidR="005845F4" w:rsidRPr="00EE3092">
        <w:rPr>
          <w:i w:val="0"/>
          <w:sz w:val="22"/>
          <w:szCs w:val="22"/>
        </w:rPr>
        <w:t xml:space="preserve"> e pertanto si possono inserire anche ulteriori prestazioni escluse dal protocollo</w:t>
      </w:r>
      <w:r w:rsidRPr="00EE3092">
        <w:rPr>
          <w:i w:val="0"/>
          <w:sz w:val="22"/>
          <w:szCs w:val="22"/>
        </w:rPr>
        <w:t>.</w:t>
      </w:r>
    </w:p>
    <w:p w14:paraId="188D4833" w14:textId="77777777" w:rsidR="00061EC3" w:rsidRPr="00EE3092" w:rsidRDefault="00180326" w:rsidP="001F7231">
      <w:pPr>
        <w:jc w:val="both"/>
        <w:rPr>
          <w:i w:val="0"/>
          <w:sz w:val="22"/>
          <w:szCs w:val="22"/>
        </w:rPr>
      </w:pPr>
      <w:r w:rsidRPr="00EE3092">
        <w:rPr>
          <w:b/>
          <w:i w:val="0"/>
          <w:sz w:val="22"/>
          <w:szCs w:val="22"/>
        </w:rPr>
        <w:t xml:space="preserve">Nota 3: </w:t>
      </w:r>
      <w:r w:rsidRPr="00EE3092">
        <w:rPr>
          <w:i w:val="0"/>
          <w:sz w:val="22"/>
          <w:szCs w:val="22"/>
        </w:rPr>
        <w:t xml:space="preserve">essendo il progetto unico poi, come da prassi, si sceglie </w:t>
      </w:r>
      <w:r w:rsidR="00061EC3" w:rsidRPr="00EE3092">
        <w:rPr>
          <w:i w:val="0"/>
          <w:sz w:val="22"/>
          <w:szCs w:val="22"/>
        </w:rPr>
        <w:t xml:space="preserve">quali categorie omogenee </w:t>
      </w:r>
      <w:r w:rsidR="00447963" w:rsidRPr="00EE3092">
        <w:rPr>
          <w:i w:val="0"/>
          <w:sz w:val="22"/>
          <w:szCs w:val="22"/>
        </w:rPr>
        <w:t>considerare</w:t>
      </w:r>
      <w:r w:rsidR="00061EC3" w:rsidRPr="00EE3092">
        <w:rPr>
          <w:i w:val="0"/>
          <w:sz w:val="22"/>
          <w:szCs w:val="22"/>
        </w:rPr>
        <w:t xml:space="preserve"> in accollo. Criteri che, da alcune simulazioni sono risultati efficaci sono:</w:t>
      </w:r>
    </w:p>
    <w:p w14:paraId="7F1782EC" w14:textId="77777777" w:rsidR="00061EC3" w:rsidRPr="00EE3092" w:rsidRDefault="00061EC3" w:rsidP="00061EC3">
      <w:pPr>
        <w:pStyle w:val="Paragrafoelenco"/>
        <w:numPr>
          <w:ilvl w:val="0"/>
          <w:numId w:val="3"/>
        </w:num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 xml:space="preserve">scelta in base a </w:t>
      </w:r>
      <w:r w:rsidRPr="00EE3092">
        <w:rPr>
          <w:b/>
          <w:i w:val="0"/>
          <w:sz w:val="22"/>
          <w:szCs w:val="22"/>
        </w:rPr>
        <w:t xml:space="preserve">quando </w:t>
      </w:r>
      <w:r w:rsidRPr="00EE3092">
        <w:rPr>
          <w:i w:val="0"/>
          <w:sz w:val="22"/>
          <w:szCs w:val="22"/>
        </w:rPr>
        <w:t>verranno effettuate le lavorazioni: ad oggi</w:t>
      </w:r>
      <w:r w:rsidR="00447963" w:rsidRPr="00EE3092">
        <w:rPr>
          <w:i w:val="0"/>
          <w:sz w:val="22"/>
          <w:szCs w:val="22"/>
        </w:rPr>
        <w:t>,</w:t>
      </w:r>
      <w:r w:rsidRPr="00EE3092">
        <w:rPr>
          <w:i w:val="0"/>
          <w:sz w:val="22"/>
          <w:szCs w:val="22"/>
        </w:rPr>
        <w:t xml:space="preserve"> infatti</w:t>
      </w:r>
      <w:r w:rsidR="00447963" w:rsidRPr="00EE3092">
        <w:rPr>
          <w:i w:val="0"/>
          <w:sz w:val="22"/>
          <w:szCs w:val="22"/>
        </w:rPr>
        <w:t>,</w:t>
      </w:r>
      <w:r w:rsidRPr="00EE3092">
        <w:rPr>
          <w:i w:val="0"/>
          <w:sz w:val="22"/>
          <w:szCs w:val="22"/>
        </w:rPr>
        <w:t xml:space="preserve"> il 110% per gli accolli è prorogato fino al 31/12/2025, per cui mandare in accollo lavorazioni ultime/di finitura, può a breve risultare pericoloso per l’ottenimento della massima detrazione. Inoltre, nel caso frequente di sconto in fattura, l’impresa potrebbe dover acquisire il credito per scaglioni di almeno il 30%, che è importante siano dello stesso anno fiscale.</w:t>
      </w:r>
    </w:p>
    <w:p w14:paraId="440692FE" w14:textId="77777777" w:rsidR="00061EC3" w:rsidRPr="00EE3092" w:rsidRDefault="00061EC3" w:rsidP="00061EC3">
      <w:pPr>
        <w:pStyle w:val="Paragrafoelenco"/>
        <w:numPr>
          <w:ilvl w:val="0"/>
          <w:numId w:val="3"/>
        </w:num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per accolli “modesti” considerare eccedenti le spese “sisma” (</w:t>
      </w:r>
      <w:proofErr w:type="spellStart"/>
      <w:r w:rsidRPr="00EE3092">
        <w:rPr>
          <w:i w:val="0"/>
          <w:sz w:val="22"/>
          <w:szCs w:val="22"/>
        </w:rPr>
        <w:t>Cat</w:t>
      </w:r>
      <w:proofErr w:type="spellEnd"/>
      <w:r w:rsidRPr="00EE3092">
        <w:rPr>
          <w:i w:val="0"/>
          <w:sz w:val="22"/>
          <w:szCs w:val="22"/>
        </w:rPr>
        <w:t>. E e/o S) senza attivare l’ecobonus.</w:t>
      </w:r>
    </w:p>
    <w:p w14:paraId="4B41EC78" w14:textId="77777777" w:rsidR="00180326" w:rsidRPr="00EE3092" w:rsidRDefault="00596B76" w:rsidP="00061EC3">
      <w:pPr>
        <w:pStyle w:val="Paragrafoelenco"/>
        <w:numPr>
          <w:ilvl w:val="0"/>
          <w:numId w:val="3"/>
        </w:num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I</w:t>
      </w:r>
      <w:r w:rsidR="00061EC3" w:rsidRPr="00EE3092">
        <w:rPr>
          <w:i w:val="0"/>
          <w:sz w:val="22"/>
          <w:szCs w:val="22"/>
        </w:rPr>
        <w:t>n casi in cui il contributo sia di molto inferiore al valore delle opere (tipico di livelli operativi bassi per pochi danni evidenti ma con alte carenze e vulnerabilità),</w:t>
      </w:r>
      <w:r w:rsidR="00876C95" w:rsidRPr="00EE3092">
        <w:rPr>
          <w:i w:val="0"/>
          <w:sz w:val="22"/>
          <w:szCs w:val="22"/>
        </w:rPr>
        <w:t xml:space="preserve"> e risulti quindi necessario attivare la procedura del “</w:t>
      </w:r>
      <w:proofErr w:type="spellStart"/>
      <w:r w:rsidR="00876C95" w:rsidRPr="00EE3092">
        <w:rPr>
          <w:i w:val="0"/>
          <w:sz w:val="22"/>
          <w:szCs w:val="22"/>
        </w:rPr>
        <w:t>superecobonus</w:t>
      </w:r>
      <w:proofErr w:type="spellEnd"/>
      <w:r w:rsidR="00876C95" w:rsidRPr="00EE3092">
        <w:rPr>
          <w:i w:val="0"/>
          <w:sz w:val="22"/>
          <w:szCs w:val="22"/>
        </w:rPr>
        <w:t>”, è più razionale e anche conveniente considerare tutta la parte “eco” in eccedenza, come fosse uno stralcio.</w:t>
      </w:r>
    </w:p>
    <w:p w14:paraId="3B199B66" w14:textId="77777777" w:rsidR="00876C95" w:rsidRPr="00EE3092" w:rsidRDefault="00876C95" w:rsidP="00876C95">
      <w:pPr>
        <w:jc w:val="both"/>
        <w:rPr>
          <w:i w:val="0"/>
          <w:sz w:val="22"/>
          <w:szCs w:val="22"/>
        </w:rPr>
      </w:pPr>
      <w:r w:rsidRPr="00EE3092">
        <w:rPr>
          <w:b/>
          <w:i w:val="0"/>
          <w:sz w:val="22"/>
          <w:szCs w:val="22"/>
        </w:rPr>
        <w:t>Nota 4:</w:t>
      </w:r>
      <w:r w:rsidRPr="00EE3092">
        <w:rPr>
          <w:i w:val="0"/>
          <w:sz w:val="22"/>
          <w:szCs w:val="22"/>
        </w:rPr>
        <w:t xml:space="preserve"> si ricorda che alcune prestazioni si calcolano sull’importo dei lavori, altre sul valore delle opere esistenti, altre ancora sulla somma dei due</w:t>
      </w:r>
    </w:p>
    <w:p w14:paraId="606B6FCB" w14:textId="77777777" w:rsidR="00876C95" w:rsidRPr="00EE3092" w:rsidRDefault="00876C95" w:rsidP="00596B76">
      <w:pPr>
        <w:spacing w:after="0"/>
        <w:jc w:val="both"/>
        <w:rPr>
          <w:i w:val="0"/>
          <w:sz w:val="22"/>
          <w:szCs w:val="22"/>
        </w:rPr>
      </w:pPr>
      <w:r w:rsidRPr="00EE3092">
        <w:rPr>
          <w:b/>
          <w:i w:val="0"/>
          <w:sz w:val="22"/>
          <w:szCs w:val="22"/>
        </w:rPr>
        <w:t xml:space="preserve">Nota 5: </w:t>
      </w:r>
      <w:r w:rsidRPr="00EE3092">
        <w:rPr>
          <w:i w:val="0"/>
          <w:sz w:val="22"/>
          <w:szCs w:val="22"/>
        </w:rPr>
        <w:t>alcune</w:t>
      </w:r>
      <w:r w:rsidRPr="00EE3092">
        <w:rPr>
          <w:b/>
          <w:i w:val="0"/>
          <w:sz w:val="22"/>
          <w:szCs w:val="22"/>
        </w:rPr>
        <w:t xml:space="preserve"> </w:t>
      </w:r>
      <w:r w:rsidRPr="00EE3092">
        <w:rPr>
          <w:i w:val="0"/>
          <w:sz w:val="22"/>
          <w:szCs w:val="22"/>
        </w:rPr>
        <w:t>prestazioni professionali, allo stesso modo dei lavori di miglioria, non sono comprese</w:t>
      </w:r>
      <w:r w:rsidR="0033565B" w:rsidRPr="00EE3092">
        <w:rPr>
          <w:i w:val="0"/>
          <w:sz w:val="22"/>
          <w:szCs w:val="22"/>
        </w:rPr>
        <w:t xml:space="preserve"> o non ben definite finora</w:t>
      </w:r>
      <w:r w:rsidRPr="00EE3092">
        <w:rPr>
          <w:i w:val="0"/>
          <w:sz w:val="22"/>
          <w:szCs w:val="22"/>
        </w:rPr>
        <w:t xml:space="preserve"> nel contributo</w:t>
      </w:r>
      <w:r w:rsidR="005845F4" w:rsidRPr="00EE3092">
        <w:rPr>
          <w:i w:val="0"/>
          <w:sz w:val="22"/>
          <w:szCs w:val="22"/>
        </w:rPr>
        <w:t xml:space="preserve"> per la Ricostruzione che, per l’appunto, è un contributo</w:t>
      </w:r>
      <w:r w:rsidRPr="00EE3092">
        <w:rPr>
          <w:i w:val="0"/>
          <w:sz w:val="22"/>
          <w:szCs w:val="22"/>
        </w:rPr>
        <w:t xml:space="preserve">. </w:t>
      </w:r>
    </w:p>
    <w:p w14:paraId="14ACB37D" w14:textId="41A0098D" w:rsidR="006E4432" w:rsidRPr="00EE3092" w:rsidRDefault="00876C95" w:rsidP="00596B76">
      <w:pPr>
        <w:spacing w:after="0"/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È il caso, ad esempio, di eventuali pratiche di sanatoria</w:t>
      </w:r>
      <w:r w:rsidR="0033565B" w:rsidRPr="00EE3092">
        <w:rPr>
          <w:i w:val="0"/>
          <w:sz w:val="22"/>
          <w:szCs w:val="22"/>
        </w:rPr>
        <w:t xml:space="preserve"> (di norma a carico del committente)</w:t>
      </w:r>
      <w:r w:rsidRPr="00EE3092">
        <w:rPr>
          <w:i w:val="0"/>
          <w:sz w:val="22"/>
          <w:szCs w:val="22"/>
        </w:rPr>
        <w:t>, le VINCA</w:t>
      </w:r>
      <w:r w:rsidR="0033565B" w:rsidRPr="00EE3092">
        <w:rPr>
          <w:i w:val="0"/>
          <w:sz w:val="22"/>
          <w:szCs w:val="22"/>
        </w:rPr>
        <w:t xml:space="preserve"> (che se prescritta, è ammissibile a contributo, ma non ben definita in termini di corrispettivi)</w:t>
      </w:r>
      <w:r w:rsidRPr="00EE3092">
        <w:rPr>
          <w:i w:val="0"/>
          <w:sz w:val="22"/>
          <w:szCs w:val="22"/>
        </w:rPr>
        <w:t>, la sorveglianza degli archeologi</w:t>
      </w:r>
      <w:r w:rsidR="00253CCF" w:rsidRPr="00EE3092">
        <w:rPr>
          <w:i w:val="0"/>
          <w:sz w:val="22"/>
          <w:szCs w:val="22"/>
        </w:rPr>
        <w:t xml:space="preserve"> (che seppure prevista</w:t>
      </w:r>
      <w:r w:rsidR="00253CCF">
        <w:rPr>
          <w:i w:val="0"/>
          <w:sz w:val="22"/>
          <w:szCs w:val="22"/>
        </w:rPr>
        <w:t xml:space="preserve"> nel contributo, risulta spesso molto sottostimata)</w:t>
      </w:r>
      <w:r w:rsidRPr="00EE3092">
        <w:rPr>
          <w:i w:val="0"/>
          <w:sz w:val="22"/>
          <w:szCs w:val="22"/>
        </w:rPr>
        <w:t>,</w:t>
      </w:r>
      <w:r w:rsidR="00596B76" w:rsidRPr="00EE3092">
        <w:rPr>
          <w:i w:val="0"/>
          <w:sz w:val="22"/>
          <w:szCs w:val="22"/>
        </w:rPr>
        <w:t xml:space="preserve"> </w:t>
      </w:r>
      <w:r w:rsidRPr="00EE3092">
        <w:rPr>
          <w:i w:val="0"/>
          <w:sz w:val="22"/>
          <w:szCs w:val="22"/>
        </w:rPr>
        <w:t xml:space="preserve">… </w:t>
      </w:r>
    </w:p>
    <w:p w14:paraId="406E75BD" w14:textId="77777777" w:rsidR="00876C95" w:rsidRPr="00EE3092" w:rsidRDefault="005845F4" w:rsidP="00876C95">
      <w:pPr>
        <w:jc w:val="both"/>
        <w:rPr>
          <w:i w:val="0"/>
          <w:sz w:val="22"/>
          <w:szCs w:val="22"/>
        </w:rPr>
      </w:pPr>
      <w:r w:rsidRPr="00EE3092">
        <w:rPr>
          <w:i w:val="0"/>
          <w:sz w:val="22"/>
          <w:szCs w:val="22"/>
        </w:rPr>
        <w:t>Occorre valutare caso per caso se sono ammissibili a bonus fiscali o se interamente a carico del Committente.</w:t>
      </w:r>
    </w:p>
    <w:sectPr w:rsidR="00876C95" w:rsidRPr="00EE3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A1ADB"/>
    <w:multiLevelType w:val="hybridMultilevel"/>
    <w:tmpl w:val="996683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1575B"/>
    <w:multiLevelType w:val="hybridMultilevel"/>
    <w:tmpl w:val="3B3A81F0"/>
    <w:lvl w:ilvl="0" w:tplc="62B41BB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C433B"/>
    <w:multiLevelType w:val="hybridMultilevel"/>
    <w:tmpl w:val="CEE6EE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72199">
    <w:abstractNumId w:val="2"/>
  </w:num>
  <w:num w:numId="2" w16cid:durableId="659580648">
    <w:abstractNumId w:val="0"/>
  </w:num>
  <w:num w:numId="3" w16cid:durableId="44323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59"/>
    <w:rsid w:val="00061EC3"/>
    <w:rsid w:val="000E5581"/>
    <w:rsid w:val="00180326"/>
    <w:rsid w:val="001C4044"/>
    <w:rsid w:val="001F7231"/>
    <w:rsid w:val="00253CCF"/>
    <w:rsid w:val="0033565B"/>
    <w:rsid w:val="00414A6B"/>
    <w:rsid w:val="00447963"/>
    <w:rsid w:val="004D4691"/>
    <w:rsid w:val="005845F4"/>
    <w:rsid w:val="00596B76"/>
    <w:rsid w:val="006B6A78"/>
    <w:rsid w:val="006E4432"/>
    <w:rsid w:val="00772659"/>
    <w:rsid w:val="00876C95"/>
    <w:rsid w:val="00A17D48"/>
    <w:rsid w:val="00A65D93"/>
    <w:rsid w:val="00B03B33"/>
    <w:rsid w:val="00B724E2"/>
    <w:rsid w:val="00B85FED"/>
    <w:rsid w:val="00BF2FA7"/>
    <w:rsid w:val="00CB6F29"/>
    <w:rsid w:val="00E044E5"/>
    <w:rsid w:val="00EE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1121"/>
  <w15:docId w15:val="{FE5C7A84-C435-4482-A633-15ECF6BC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"/>
        <w:i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4691"/>
    <w:pPr>
      <w:ind w:left="720"/>
      <w:contextualSpacing/>
    </w:pPr>
  </w:style>
  <w:style w:type="paragraph" w:styleId="Revisione">
    <w:name w:val="Revision"/>
    <w:hidden/>
    <w:uiPriority w:val="99"/>
    <w:semiHidden/>
    <w:rsid w:val="0033565B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staff1</dc:creator>
  <cp:lastModifiedBy>Moreno Marziani</cp:lastModifiedBy>
  <cp:revision>2</cp:revision>
  <dcterms:created xsi:type="dcterms:W3CDTF">2023-09-20T15:38:00Z</dcterms:created>
  <dcterms:modified xsi:type="dcterms:W3CDTF">2023-09-20T15:38:00Z</dcterms:modified>
</cp:coreProperties>
</file>